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9B17" w14:textId="77777777" w:rsidR="00584B52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4FBC7A13" w14:textId="6B21D1BE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2A7B6B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F0350A">
        <w:rPr>
          <w:rFonts w:ascii="Arial Narrow" w:hAnsi="Arial Narrow" w:cs="Times New Roman"/>
          <w:b/>
          <w:sz w:val="24"/>
          <w:szCs w:val="24"/>
        </w:rPr>
        <w:t>C.2 (</w:t>
      </w:r>
      <w:r w:rsidR="000C1C82">
        <w:rPr>
          <w:rFonts w:ascii="Arial Narrow" w:hAnsi="Arial Narrow" w:cs="Times New Roman"/>
          <w:b/>
          <w:sz w:val="24"/>
          <w:szCs w:val="24"/>
        </w:rPr>
        <w:t xml:space="preserve">Formerly </w:t>
      </w:r>
      <w:bookmarkStart w:id="0" w:name="_GoBack"/>
      <w:bookmarkEnd w:id="0"/>
      <w:r w:rsidR="00F0350A">
        <w:rPr>
          <w:rFonts w:ascii="Arial Narrow" w:hAnsi="Arial Narrow" w:cs="Times New Roman"/>
          <w:b/>
          <w:sz w:val="24"/>
          <w:szCs w:val="24"/>
        </w:rPr>
        <w:t xml:space="preserve">3100) </w:t>
      </w:r>
    </w:p>
    <w:p w14:paraId="0CA41800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2A7B6B">
        <w:rPr>
          <w:rFonts w:ascii="Arial Narrow" w:hAnsi="Arial Narrow" w:cs="Times New Roman"/>
          <w:sz w:val="24"/>
          <w:szCs w:val="24"/>
        </w:rPr>
        <w:t>BOARD-AUTHORITY AUTHORIZED COURSES</w:t>
      </w:r>
    </w:p>
    <w:p w14:paraId="0E397D76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2A7B6B">
        <w:rPr>
          <w:rFonts w:ascii="Arial Narrow" w:hAnsi="Arial Narrow" w:cs="Times New Roman"/>
          <w:sz w:val="24"/>
          <w:szCs w:val="24"/>
        </w:rPr>
        <w:t>October 1999</w:t>
      </w:r>
    </w:p>
    <w:p w14:paraId="4E8ED9F4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b/>
          <w:sz w:val="24"/>
          <w:szCs w:val="24"/>
        </w:rPr>
        <w:t>Date Approved:</w:t>
      </w:r>
      <w:r w:rsidRPr="002A7B6B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594C476C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b/>
          <w:sz w:val="24"/>
          <w:szCs w:val="24"/>
        </w:rPr>
        <w:t>Date Amended:</w:t>
      </w:r>
      <w:r w:rsidRPr="002A7B6B">
        <w:rPr>
          <w:rFonts w:ascii="Arial Narrow" w:hAnsi="Arial Narrow" w:cs="Times New Roman"/>
          <w:sz w:val="24"/>
          <w:szCs w:val="24"/>
        </w:rPr>
        <w:t xml:space="preserve"> November, 2004</w:t>
      </w:r>
    </w:p>
    <w:p w14:paraId="5E5CD5A5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2A7B6B">
        <w:rPr>
          <w:rFonts w:ascii="Arial Narrow" w:hAnsi="Arial Narrow" w:cs="Times New Roman"/>
          <w:sz w:val="24"/>
          <w:szCs w:val="24"/>
        </w:rPr>
        <w:t>BOARD/AUTHORITY AUTHORIZED COURSES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2A7D0BDC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A3CC680" w14:textId="77777777" w:rsidR="00E52ADE" w:rsidRPr="00D0788C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D0788C">
        <w:rPr>
          <w:rFonts w:ascii="Arial Narrow" w:hAnsi="Arial Narrow" w:cs="Times New Roman"/>
          <w:b/>
          <w:sz w:val="24"/>
          <w:szCs w:val="24"/>
        </w:rPr>
        <w:t>POLICY</w:t>
      </w:r>
    </w:p>
    <w:p w14:paraId="2897CC3B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In accordance with Ministerial Order 302/04, the Graduation Program Order 2004,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and under the authority of the School Act, Sections 85 (2) (i) and 168 (2) (b),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Board may offer courses developed or adopted to meet the needs of schools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their communities while providing choice and flexibility for students.</w:t>
      </w:r>
    </w:p>
    <w:p w14:paraId="6282C1F5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D57BBA1" w14:textId="77777777" w:rsidR="00E52ADE" w:rsidRPr="00D0788C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D0788C">
        <w:rPr>
          <w:rFonts w:ascii="Arial Narrow" w:hAnsi="Arial Narrow" w:cs="Times New Roman"/>
          <w:b/>
          <w:sz w:val="24"/>
          <w:szCs w:val="24"/>
        </w:rPr>
        <w:t>PROCEDURE</w:t>
      </w:r>
    </w:p>
    <w:p w14:paraId="39C5F158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1. Approval of any Board/Authority Authorized (BAA) Courses and its supporting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texts and other instructional material shall be by resolution of the Board.</w:t>
      </w:r>
    </w:p>
    <w:p w14:paraId="79C89F59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0960621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2. In addition to requiring the application of the criteria for the approval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Board/Authority Authorized Courses, the Board should consider the following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points:</w:t>
      </w:r>
    </w:p>
    <w:p w14:paraId="3675EFF0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(a) what evidence, if any, is there of the need or demand for the proposed course?</w:t>
      </w:r>
    </w:p>
    <w:p w14:paraId="65829CC2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(b) is this course an appropriate course in the public school situation at the level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indicated?</w:t>
      </w:r>
    </w:p>
    <w:p w14:paraId="5EC49EC2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(c) is the proposed course significantly different from existing courses?</w:t>
      </w:r>
    </w:p>
    <w:p w14:paraId="380B61FA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(d) has a sound educational rationale been developed and written for the course?</w:t>
      </w:r>
    </w:p>
    <w:p w14:paraId="27BA8412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(e) has a clear set of goals and learning outcomes been developed and written?</w:t>
      </w:r>
    </w:p>
    <w:p w14:paraId="39696E9F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(f) is the course consistent with the Provincial philosophy of education?</w:t>
      </w:r>
    </w:p>
    <w:p w14:paraId="1CC59990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(g) is the cost of the course commensurate with its value to students?</w:t>
      </w:r>
    </w:p>
    <w:p w14:paraId="63A0EDF2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(h) can this course be offered without having an adverse effect on funds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facilities available for other courses?</w:t>
      </w:r>
    </w:p>
    <w:p w14:paraId="2FD54571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(i) are special qualifications needed to teach the course? Is the proposed course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capable of surviving if the originator of the course leaves the district?</w:t>
      </w:r>
    </w:p>
    <w:p w14:paraId="23D5C270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lastRenderedPageBreak/>
        <w:t>(j) have the course developers surveyed the field of available resources?</w:t>
      </w:r>
    </w:p>
    <w:p w14:paraId="5A9119FA" w14:textId="77777777" w:rsidR="00D801B9" w:rsidRPr="002A7B6B" w:rsidRDefault="00D801B9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B9E7D1E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3. There is no limit to the number of Board/Authority Authorized Grade 10, 11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12 Courses that may be used as part of the 28 credits of electives students need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fulfill the graduation requirements for the Graduation Program 2004.</w:t>
      </w:r>
    </w:p>
    <w:p w14:paraId="5A328D96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06E9B57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4. Teachers wishing to develop Board/Authority Authorized courses will use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instructions and templates provided by the Ministry of Education and submit their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proposal to their school principal. Submission for approval of Board/Authority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Authorized courses shall be made in writing and shall include the following criteria:</w:t>
      </w:r>
    </w:p>
    <w:p w14:paraId="0E4A4F5F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a) Course Name</w:t>
      </w:r>
    </w:p>
    <w:p w14:paraId="53D39F2A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BAA Course names should reflect the subject area and include the grade level 10,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11, or 12 in the course name.</w:t>
      </w:r>
    </w:p>
    <w:p w14:paraId="788DFC2D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b) Grade Level</w:t>
      </w:r>
    </w:p>
    <w:p w14:paraId="7A103617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The grade level reflects the appropriate level of instruction. In some cases, it may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appropriate to create several courses at the same grade level in order to teach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different aspects of the subject. This strategy may also be used in the case of a large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amount of content divided into several courses. Such courses could be labelled,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example</w:t>
      </w:r>
      <w:r>
        <w:rPr>
          <w:rFonts w:ascii="Arial Narrow" w:hAnsi="Arial Narrow" w:cs="Times New Roman"/>
          <w:sz w:val="24"/>
          <w:szCs w:val="24"/>
        </w:rPr>
        <w:t>, Psychology 11A, 11B, and 11C.</w:t>
      </w:r>
    </w:p>
    <w:p w14:paraId="5AF81859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c) Number of Credits</w:t>
      </w:r>
    </w:p>
    <w:p w14:paraId="7ACB023E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Credits refers to the value of a grade 10, 11, or 12 course. The credit value reflects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the length and scope of a course. A full course is 4 credits (100 to 120 hours).</w:t>
      </w:r>
    </w:p>
    <w:p w14:paraId="592204A6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d) Course Synopsis</w:t>
      </w:r>
    </w:p>
    <w:p w14:paraId="09194586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The course synopsis is a statement of product. It outlines what a student has gained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when the course is completed.</w:t>
      </w:r>
    </w:p>
    <w:p w14:paraId="298CEAC4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e) Rationale</w:t>
      </w:r>
    </w:p>
    <w:p w14:paraId="1E1726D0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The rationale is a statement of the reasons for wanting to offer opportunities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study this course. The rationale answers the questions: Why is it important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students to take this course?</w:t>
      </w:r>
    </w:p>
    <w:p w14:paraId="7938C995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f) Organizational Structure</w:t>
      </w:r>
    </w:p>
    <w:p w14:paraId="129A5909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The organizational structure included the curriculum organizers (the big ideas)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the specific topics or units, which include the learning outcomes, instruction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assessment components, and time allotments.</w:t>
      </w:r>
    </w:p>
    <w:p w14:paraId="46566425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g) Learning Outcomes</w:t>
      </w:r>
    </w:p>
    <w:p w14:paraId="7B4CA9EB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The learning outcomes are statements of what students are expected to know and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able to do within each course curriculum organizer.</w:t>
      </w:r>
    </w:p>
    <w:p w14:paraId="471F8B57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Learning outcomes for a BAA Course must be:</w:t>
      </w:r>
    </w:p>
    <w:p w14:paraId="203162E5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- written in Ministry format (It is expected that students will"¦)</w:t>
      </w:r>
    </w:p>
    <w:p w14:paraId="21ABC050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- appropriate to the age or grade range for which they are intended</w:t>
      </w:r>
    </w:p>
    <w:p w14:paraId="54FD7DBA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- understandable by students, parents, and educators</w:t>
      </w:r>
    </w:p>
    <w:p w14:paraId="1BCD190C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- observable or measurable (i.e., stated in such a way that it will be readily apparent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when the student has met the expectation)</w:t>
      </w:r>
    </w:p>
    <w:p w14:paraId="264697FC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- clearly stated in terms of what will be expected of students</w:t>
      </w:r>
    </w:p>
    <w:p w14:paraId="7D4161FB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- supportive of a range of instructional and assessment strategies</w:t>
      </w:r>
    </w:p>
    <w:p w14:paraId="5058C64E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h) Instructional Component</w:t>
      </w:r>
    </w:p>
    <w:p w14:paraId="78BC7C5E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The instructional component of a course expands on and makes clear the intent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the learning outcomes. It involves the use of activities, techniques, and methods that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can be employed to meet diverse student needs and to deliver the curriculum.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nature and features of the course will influence instructional strategies and activities.</w:t>
      </w:r>
    </w:p>
    <w:p w14:paraId="71FC20C6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i) Assessment Component</w:t>
      </w:r>
    </w:p>
    <w:p w14:paraId="70824B3B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The assessment component provides opportunities to assess the students'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achievement of the learning outcomes.</w:t>
      </w:r>
    </w:p>
    <w:p w14:paraId="518D07A6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j) Learning Resources</w:t>
      </w:r>
    </w:p>
    <w:p w14:paraId="2A6B56D4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The learning resources selected for the course should be age appropriate and support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the learning outcomes. The selection and development of learning resources should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take into account the needs of learners. Considerations include diverse learning rates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and styles, and a range of special needs. Major learning resources, including teacher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resources, should be listed.</w:t>
      </w:r>
    </w:p>
    <w:p w14:paraId="72EECF97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Learning resources and resource people that are selected to support BAA Courses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must be evaluated through the local board-approved process (Policy 3110,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Community Resource People and Policy 3120, Locally Recommended Learning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Resources).</w:t>
      </w:r>
    </w:p>
    <w:p w14:paraId="4E9EC61F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C236D40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5. The principal submits to the Superintendent of Schools the Board/Authority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Authorized course proposal for review.</w:t>
      </w:r>
    </w:p>
    <w:p w14:paraId="36230FDC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A243C11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 xml:space="preserve">6. The Superintendent of Schools submits to the Board of </w:t>
      </w:r>
      <w:r w:rsidR="00D801B9">
        <w:rPr>
          <w:rFonts w:ascii="Arial Narrow" w:hAnsi="Arial Narrow" w:cs="Times New Roman"/>
          <w:sz w:val="24"/>
          <w:szCs w:val="24"/>
        </w:rPr>
        <w:t>Education</w:t>
      </w:r>
      <w:r w:rsidRPr="002A7B6B">
        <w:rPr>
          <w:rFonts w:ascii="Arial Narrow" w:hAnsi="Arial Narrow" w:cs="Times New Roman"/>
          <w:sz w:val="24"/>
          <w:szCs w:val="24"/>
        </w:rPr>
        <w:t xml:space="preserve">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consideration together with his/her recommendation, a request for establishing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proposed Board/Authority Authorized course and other supportive material at least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four months prior to the intended date of implementation.</w:t>
      </w:r>
    </w:p>
    <w:p w14:paraId="5B214D83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7A785D0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 xml:space="preserve">7. If the course receives the approval of the Board of </w:t>
      </w:r>
      <w:r w:rsidR="00D801B9">
        <w:rPr>
          <w:rFonts w:ascii="Arial Narrow" w:hAnsi="Arial Narrow" w:cs="Times New Roman"/>
          <w:sz w:val="24"/>
          <w:szCs w:val="24"/>
        </w:rPr>
        <w:t>Education</w:t>
      </w:r>
      <w:r w:rsidRPr="002A7B6B">
        <w:rPr>
          <w:rFonts w:ascii="Arial Narrow" w:hAnsi="Arial Narrow" w:cs="Times New Roman"/>
          <w:sz w:val="24"/>
          <w:szCs w:val="24"/>
        </w:rPr>
        <w:t>,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Superintendent of Schools will forward notification to the Ministry of Education 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Ministry form 1526. A copy of the course description will be kept on file by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Superintendent of Schools to be available for Ministry review purposes.</w:t>
      </w:r>
    </w:p>
    <w:p w14:paraId="60C553A1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D2623E1" w14:textId="77777777" w:rsidR="00E52ADE" w:rsidRPr="002A7B6B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A7B6B">
        <w:rPr>
          <w:rFonts w:ascii="Arial Narrow" w:hAnsi="Arial Narrow" w:cs="Times New Roman"/>
          <w:sz w:val="24"/>
          <w:szCs w:val="24"/>
        </w:rPr>
        <w:t>8. Board/Authority Authorized courses not approved by the Board will be referred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A7B6B">
        <w:rPr>
          <w:rFonts w:ascii="Arial Narrow" w:hAnsi="Arial Narrow" w:cs="Times New Roman"/>
          <w:sz w:val="24"/>
          <w:szCs w:val="24"/>
        </w:rPr>
        <w:t>to the Superintendent for further review.</w:t>
      </w:r>
    </w:p>
    <w:p w14:paraId="0B3B20CB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665CC1B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A542923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9BAEAF9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2D52255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592E27B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F076D16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AF0CE1D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32028AB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3C504F4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85C06DD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D8040CD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C42BD42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7635D14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9F68269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0F5CE2F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0F3CB52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3CBF85C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303A6A8" w14:textId="77777777" w:rsidR="005140BF" w:rsidRPr="00770724" w:rsidRDefault="005140BF" w:rsidP="00770724"/>
    <w:sectPr w:rsidR="005140BF" w:rsidRPr="00770724" w:rsidSect="005D4446">
      <w:headerReference w:type="even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2670" w14:textId="77777777" w:rsidR="002943CE" w:rsidRDefault="002943CE" w:rsidP="005D4446">
      <w:pPr>
        <w:spacing w:after="0" w:line="240" w:lineRule="auto"/>
      </w:pPr>
      <w:r>
        <w:separator/>
      </w:r>
    </w:p>
  </w:endnote>
  <w:endnote w:type="continuationSeparator" w:id="0">
    <w:p w14:paraId="15487E96" w14:textId="77777777" w:rsidR="002943CE" w:rsidRDefault="002943CE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BEB97" w14:textId="77777777" w:rsidR="002943CE" w:rsidRDefault="002943CE" w:rsidP="005D4446">
      <w:pPr>
        <w:spacing w:after="0" w:line="240" w:lineRule="auto"/>
      </w:pPr>
      <w:r>
        <w:separator/>
      </w:r>
    </w:p>
  </w:footnote>
  <w:footnote w:type="continuationSeparator" w:id="0">
    <w:p w14:paraId="19DCBC44" w14:textId="77777777" w:rsidR="002943CE" w:rsidRDefault="002943CE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6125C615" w14:textId="77777777" w:rsidTr="00E52ADE">
      <w:tc>
        <w:tcPr>
          <w:tcW w:w="1152" w:type="dxa"/>
        </w:tcPr>
        <w:p w14:paraId="532BECFF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72FD5B1" w14:textId="77777777" w:rsidR="00E52ADE" w:rsidRPr="0088634D" w:rsidRDefault="002943CE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012D0B38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CEAF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6369C7A" wp14:editId="481DC1D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6CD40AE7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1DB33F86" w14:textId="77777777" w:rsidR="00E52ADE" w:rsidRDefault="00E52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C1C82"/>
    <w:rsid w:val="001D0477"/>
    <w:rsid w:val="002943CE"/>
    <w:rsid w:val="003169AE"/>
    <w:rsid w:val="005140BF"/>
    <w:rsid w:val="00584B52"/>
    <w:rsid w:val="005D4446"/>
    <w:rsid w:val="005F2306"/>
    <w:rsid w:val="00695DD8"/>
    <w:rsid w:val="00770724"/>
    <w:rsid w:val="007B5305"/>
    <w:rsid w:val="00AA7F86"/>
    <w:rsid w:val="00D801B9"/>
    <w:rsid w:val="00E3269B"/>
    <w:rsid w:val="00E52ADE"/>
    <w:rsid w:val="00F0350A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AD9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C6C5D"/>
    <w:rsid w:val="002F5421"/>
    <w:rsid w:val="006313A1"/>
    <w:rsid w:val="006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D0506-C341-9C4E-AF57-ADCEBDF9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5322</Characters>
  <Application>Microsoft Macintosh Word</Application>
  <DocSecurity>0</DocSecurity>
  <Lines>44</Lines>
  <Paragraphs>12</Paragraphs>
  <ScaleCrop>false</ScaleCrop>
  <Company>School District No. 50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4</cp:revision>
  <cp:lastPrinted>2017-03-07T21:46:00Z</cp:lastPrinted>
  <dcterms:created xsi:type="dcterms:W3CDTF">2017-03-02T23:02:00Z</dcterms:created>
  <dcterms:modified xsi:type="dcterms:W3CDTF">2017-03-07T21:46:00Z</dcterms:modified>
</cp:coreProperties>
</file>